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宋体" w:hAnsi="宋体" w:eastAsia="黑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utoSpaceDN w:val="0"/>
        <w:spacing w:line="560" w:lineRule="exact"/>
        <w:ind w:firstLine="645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速冻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食品</w:t>
      </w:r>
      <w:r>
        <w:rPr>
          <w:rFonts w:hint="eastAsia" w:ascii="宋体" w:hAnsi="宋体" w:cs="宋体"/>
          <w:b/>
          <w:bCs/>
          <w:sz w:val="44"/>
          <w:szCs w:val="44"/>
        </w:rPr>
        <w:t>生产线产品成型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及升降平台</w:t>
      </w:r>
      <w:r>
        <w:rPr>
          <w:rFonts w:hint="eastAsia" w:ascii="宋体" w:hAnsi="宋体" w:cs="宋体"/>
          <w:b/>
          <w:bCs/>
          <w:sz w:val="44"/>
          <w:szCs w:val="44"/>
        </w:rPr>
        <w:t>等设备技术参数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及相关要求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93"/>
        <w:gridCol w:w="4131"/>
        <w:gridCol w:w="1167"/>
        <w:gridCol w:w="1194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41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及相关要求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（台/套）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预算单价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上控价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A分标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饺子机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（含水饺、蒸饺成型）</w:t>
            </w:r>
          </w:p>
        </w:tc>
        <w:tc>
          <w:tcPr>
            <w:tcW w:w="413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类型：全自动一次成型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1.整机包含：折叠式上面机、成型主机、成型机头（含水饺、蒸饺两种成型机头）、独立馅泵，输送带；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2.产品规格：约20g/pcs，（每2g为一个规格，范围确定后定型）；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产能：自带三种程序，每种程序均可独立设置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程序不同，产能不同，机型最大产能在60000～70000个/小时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以20g/个计算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</w:rPr>
              <w:t>单机每小时产能</w:t>
            </w:r>
            <w:r>
              <w:rPr>
                <w:rFonts w:hint="eastAsia"/>
                <w:lang w:val="en-US" w:eastAsia="zh-CN"/>
              </w:rPr>
              <w:t>达1T；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饺子外形：肚子饱</w:t>
            </w:r>
            <w:r>
              <w:rPr>
                <w:rFonts w:hint="eastAsia"/>
              </w:rPr>
              <w:t>满，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小尾巴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单个</w:t>
            </w:r>
            <w:r>
              <w:rPr>
                <w:rFonts w:hint="eastAsia"/>
                <w:lang w:val="en-US" w:eastAsia="zh-CN"/>
              </w:rPr>
              <w:t>饺子</w:t>
            </w:r>
            <w:r>
              <w:rPr>
                <w:rFonts w:hint="eastAsia"/>
              </w:rPr>
              <w:t>重量偏差在±1.0克以内的达标率≥98％，在±0.5克以内的达标率≥95％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.水饺模具为</w:t>
            </w:r>
            <w:r>
              <w:rPr>
                <w:rFonts w:hint="eastAsia"/>
                <w:lang w:val="en-US" w:eastAsia="zh-CN"/>
              </w:rPr>
              <w:t>高合金</w:t>
            </w:r>
            <w:r>
              <w:rPr>
                <w:rFonts w:hint="eastAsia"/>
              </w:rPr>
              <w:t>注塑模具，免喷涂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.伸缩式输送带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8.压面辊：304不锈钢；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9.封板：厚度1.5mm，304不锈钢；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.压面方式：六组以上压面辊，带一组折叠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单边式调节面辊间隙；</w:t>
            </w:r>
          </w:p>
          <w:p>
            <w:pPr>
              <w:widowControl/>
              <w:spacing w:line="34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11.含3米不锈钢食品级成品输送带。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B分标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六头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汤圆机</w:t>
            </w:r>
          </w:p>
        </w:tc>
        <w:tc>
          <w:tcPr>
            <w:tcW w:w="41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1.单头产能≤8000 个/小时（3-15 克≤8000 个/小时；15-25 克≤6000 个/小时，）最大总产能0.7T；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2.汤圆表面凹坑深度小于 2mm，尾痕高度小于 1mm ,尾㾗长度短于 10 毫米，整体达标率高于 90%；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3.单个汤圆重量偏差在±1.0 克以内的达标率≥98%，在±0.5 克以内的达标率≥95%，汤圆馅量占汤圆重量比例在 0-30%，馅量偏差在±0.5 克以内的达标率≥98%，在± 0.3 克以内的达标率≥95%；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4.具备 “人工加盘/自动供料/自动包制/自动搓圆/自动装盘/人工取盘”的功能；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5.按常规产品包装上食用方法的煮制时间（最长7分钟）延长 2 分钟后，无漏馅汤圆出现。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26.5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C分标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真空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和面机</w:t>
            </w:r>
          </w:p>
        </w:tc>
        <w:tc>
          <w:tcPr>
            <w:tcW w:w="413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和面重量：2包粉（50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主体采用SUS304不锈钢制造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结构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密封件和轴承更换方便；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和面过程在真空负压下拌和，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和面、揉面、醒面三大功能，和出的面不用放置，不用醒面，出面即可使用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真空度：≦-0.08Mpa；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搅拌轴转速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双速88/44 r/min；  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搅拌叶方式：桨叶式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采用PLC控制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程序无加密，可根据工艺设定和面时间和真空度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机架：SUS304食品级不锈钢；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面斗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304不锈钢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厚度：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6/14mm ；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304不锈钢 厚度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3mm 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钣金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厚度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1.5mm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搅拌轴：304不锈钢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厚度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10mm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8.5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D分标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升降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平台</w:t>
            </w:r>
          </w:p>
        </w:tc>
        <w:tc>
          <w:tcPr>
            <w:tcW w:w="4131" w:type="dxa"/>
            <w:shd w:val="clear" w:color="auto" w:fill="auto"/>
            <w:vAlign w:val="center"/>
          </w:tcPr>
          <w:p>
            <w:pPr>
              <w:tabs>
                <w:tab w:val="left" w:pos="4522"/>
              </w:tabs>
              <w:spacing w:line="340" w:lineRule="exac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载重：350kg</w:t>
            </w:r>
            <w:r>
              <w:rPr>
                <w:rFonts w:hint="eastAsia" w:ascii="宋体" w:hAnsi="宋体" w:cs="宋体"/>
                <w:lang w:val="en-US" w:eastAsia="zh-CN"/>
              </w:rPr>
              <w:t>；</w:t>
            </w:r>
          </w:p>
          <w:p>
            <w:pPr>
              <w:tabs>
                <w:tab w:val="left" w:pos="4522"/>
              </w:tabs>
              <w:spacing w:line="34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内厢净空：1350*960*1800mm(如图所示)</w:t>
            </w:r>
            <w:r>
              <w:rPr>
                <w:rFonts w:hint="eastAsia" w:ascii="宋体" w:hAnsi="宋体" w:cs="宋体"/>
                <w:lang w:val="en-US" w:eastAsia="zh-CN"/>
              </w:rPr>
              <w:t>；</w:t>
            </w:r>
          </w:p>
          <w:p>
            <w:pPr>
              <w:tabs>
                <w:tab w:val="left" w:pos="4522"/>
              </w:tabs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u w:val="none"/>
                <w:lang w:val="en-US" w:eastAsia="zh-CN"/>
              </w:rPr>
              <w:t>3.相关要求:</w:t>
            </w:r>
            <w:r>
              <w:rPr>
                <w:rFonts w:ascii="宋体" w:hAnsi="宋体" w:eastAsia="宋体" w:cs="宋体"/>
                <w:sz w:val="24"/>
                <w:szCs w:val="24"/>
              </w:rPr>
              <w:t>外围为B级防火不老泡50毫米325彩钢夹芯板全封闭，轿厢为格栅方通，内3面及顶板为304不锈钢0.8厚材质，底板为防滑3.0原花绞不锈钢板，上、下轿厢运行后有护栏挡板，最低高度1.1米以上，1.2楼对接升降厢门口小于10mm的缝隙或密封机构；</w:t>
            </w:r>
            <w:bookmarkStart w:id="0" w:name="_GoBack"/>
            <w:bookmarkEnd w:id="0"/>
          </w:p>
          <w:p>
            <w:pPr>
              <w:tabs>
                <w:tab w:val="left" w:pos="4522"/>
              </w:tabs>
              <w:spacing w:line="340" w:lineRule="exac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控制方式：两层控制</w:t>
            </w:r>
            <w:r>
              <w:rPr>
                <w:rFonts w:hint="eastAsia" w:ascii="宋体" w:hAnsi="宋体" w:cs="宋体"/>
                <w:lang w:val="en-US" w:eastAsia="zh-CN"/>
              </w:rPr>
              <w:t>；</w:t>
            </w:r>
          </w:p>
          <w:p>
            <w:pPr>
              <w:tabs>
                <w:tab w:val="left" w:pos="452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最低高度：150mm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垂直行程：4500mm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7.8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4131" w:type="dxa"/>
            <w:shd w:val="clear" w:color="auto" w:fill="auto"/>
            <w:vAlign w:val="center"/>
          </w:tcPr>
          <w:p>
            <w:pPr>
              <w:tabs>
                <w:tab w:val="left" w:pos="4522"/>
              </w:tabs>
              <w:spacing w:line="340" w:lineRule="exact"/>
              <w:jc w:val="left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instrText xml:space="preserve"> = sum(F2:F5) \* MERGEFORMAT </w:instrTex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72.6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84D60"/>
    <w:rsid w:val="22B84D60"/>
    <w:rsid w:val="4A8F3421"/>
    <w:rsid w:val="5E7753DA"/>
    <w:rsid w:val="7CE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next w:val="1"/>
    <w:qFormat/>
    <w:uiPriority w:val="0"/>
    <w:pPr>
      <w:ind w:firstLine="200" w:firstLineChars="200"/>
    </w:pPr>
    <w:rPr>
      <w:rFonts w:ascii="Calibri" w:hAnsi="Calibri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2022-10-21T09:28:00Z</dcterms:created>
  <dc:creator>一个秋月</dc:creator>
  <cp:lastModifiedBy>Berry Lee</cp:lastModifiedBy>
  <dcterms:modified xsi:type="dcterms:W3CDTF">2022-10-24T09:38:39Z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